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2E" w:rsidRDefault="00610701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</w:t>
      </w:r>
    </w:p>
    <w:p w:rsidR="009E352E" w:rsidRDefault="00610701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E352E" w:rsidRDefault="00610701">
      <w:pPr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письму министерства экономики Краснодарского края</w:t>
      </w:r>
    </w:p>
    <w:p w:rsidR="009E352E" w:rsidRDefault="009E352E">
      <w:pPr>
        <w:jc w:val="right"/>
        <w:rPr>
          <w:rFonts w:ascii="Times New Roman" w:hAnsi="Times New Roman"/>
          <w:sz w:val="28"/>
        </w:rPr>
      </w:pPr>
    </w:p>
    <w:p w:rsidR="009E352E" w:rsidRDefault="0061070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транзакционной активности при безналичной оплате проезда в общественном транспорте в муниципальных образованиях Краснодарского края за IV квартал 2025 года</w:t>
      </w: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</w:t>
      </w:r>
      <w:r>
        <w:rPr>
          <w:rFonts w:ascii="Times New Roman" w:hAnsi="Times New Roman"/>
          <w:sz w:val="28"/>
        </w:rPr>
        <w:t xml:space="preserve"> анализа показателей, отражающих долю безналичных расчетов при оплате проезда в общественном транспорте в муниципальных образованиях Краснодарского края, в IV квартале 2025 года отмечено следующее.</w:t>
      </w: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В целом по состоянию на 01.01.2026 количество обществен</w:t>
      </w:r>
      <w:r>
        <w:rPr>
          <w:rFonts w:ascii="Times New Roman" w:hAnsi="Times New Roman"/>
          <w:sz w:val="28"/>
        </w:rPr>
        <w:t>ного транспорта на территории Краснодарского края составляет 5 075 бортов, доля общественного транспорта, оборудованного устройствами безналичной оплаты проезда, составляет 100, 0%</w:t>
      </w:r>
      <w:r>
        <w:rPr>
          <w:rStyle w:val="a5"/>
          <w:rFonts w:ascii="Times New Roman" w:hAnsi="Times New Roman"/>
          <w:sz w:val="28"/>
        </w:rPr>
        <w:footnoteReference w:id="1"/>
      </w:r>
      <w:r>
        <w:rPr>
          <w:rFonts w:ascii="Times New Roman" w:hAnsi="Times New Roman"/>
          <w:sz w:val="28"/>
        </w:rPr>
        <w:t>.</w:t>
      </w: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безналичных операций при оплате проезда в общественном транспорте по</w:t>
      </w:r>
      <w:r>
        <w:rPr>
          <w:rFonts w:ascii="Times New Roman" w:hAnsi="Times New Roman"/>
          <w:sz w:val="28"/>
        </w:rPr>
        <w:t xml:space="preserve"> региону за IV квартал 2025 года составила 88,9%</w:t>
      </w:r>
      <w:r>
        <w:rPr>
          <w:rStyle w:val="a5"/>
          <w:rFonts w:ascii="Times New Roman" w:hAnsi="Times New Roman"/>
          <w:sz w:val="28"/>
        </w:rPr>
        <w:footnoteReference w:id="2"/>
      </w:r>
      <w:r>
        <w:rPr>
          <w:rFonts w:ascii="Times New Roman" w:hAnsi="Times New Roman"/>
          <w:sz w:val="28"/>
        </w:rPr>
        <w:t>, увеличившись по сравнению с III кварталом 2025 года на 0,8 п.п</w:t>
      </w:r>
      <w:r>
        <w:rPr>
          <w:rStyle w:val="a5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>.</w:t>
      </w: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Наибольшее количество операций по оплате проезда в общественном транспорте приходится на г. Краснодар и г. Сочи и составляет 50,0% и 31,9% с</w:t>
      </w:r>
      <w:r>
        <w:rPr>
          <w:rFonts w:ascii="Times New Roman" w:hAnsi="Times New Roman"/>
          <w:sz w:val="28"/>
        </w:rPr>
        <w:t>оответственно от всех операций по оплате проезда на территории Краснодарского края. Доля безналичных операций по оплате проезда в г. Краснодар – 88,4%, в г. Сочи – 89,0%</w:t>
      </w:r>
      <w:r>
        <w:rPr>
          <w:rStyle w:val="a5"/>
          <w:rFonts w:ascii="Times New Roman" w:hAnsi="Times New Roman"/>
          <w:sz w:val="28"/>
        </w:rPr>
        <w:footnoteReference w:id="4"/>
      </w:r>
      <w:r>
        <w:rPr>
          <w:rFonts w:ascii="Times New Roman" w:hAnsi="Times New Roman"/>
          <w:sz w:val="28"/>
        </w:rPr>
        <w:t xml:space="preserve">. </w:t>
      </w: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общего количества операций по оплате проезда в IV квартале 2025 г. по ср</w:t>
      </w:r>
      <w:r>
        <w:rPr>
          <w:rFonts w:ascii="Times New Roman" w:hAnsi="Times New Roman"/>
          <w:sz w:val="28"/>
        </w:rPr>
        <w:t>авнению с III кварталом 2025 г. в г. Краснодар составило 9,8%</w:t>
      </w:r>
      <w:r>
        <w:rPr>
          <w:rStyle w:val="a5"/>
          <w:rFonts w:ascii="Times New Roman" w:hAnsi="Times New Roman"/>
          <w:sz w:val="28"/>
        </w:rPr>
        <w:footnoteReference w:id="5"/>
      </w:r>
      <w:r>
        <w:rPr>
          <w:rFonts w:ascii="Times New Roman" w:hAnsi="Times New Roman"/>
          <w:sz w:val="28"/>
        </w:rPr>
        <w:t xml:space="preserve"> (количество безналичных операций увеличилось на 11,5%, операций по оплате проезда наличными деньгами снизилось на 1,6%) (Рисунок 1). </w:t>
      </w:r>
    </w:p>
    <w:p w:rsidR="009E352E" w:rsidRDefault="00610701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Рисунок 1</w:t>
      </w:r>
    </w:p>
    <w:p w:rsidR="009E352E" w:rsidRDefault="00610701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-212046</wp:posOffset>
            </wp:positionH>
            <wp:positionV relativeFrom="paragraph">
              <wp:posOffset>123342</wp:posOffset>
            </wp:positionV>
            <wp:extent cx="6148316" cy="3215791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148316" cy="321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доли безналичных операций</w:t>
      </w:r>
      <w:r>
        <w:rPr>
          <w:rFonts w:ascii="Times New Roman" w:hAnsi="Times New Roman"/>
          <w:sz w:val="28"/>
        </w:rPr>
        <w:t xml:space="preserve"> по оплате проезда в разрезе муниципальных образований Краснодарского края показал, что выше среднего показателя (88,9%) находятся 23 муниципальных образования с показателями от 88,9% до 100,0% (Рисунок 2).</w:t>
      </w:r>
    </w:p>
    <w:p w:rsidR="009E352E" w:rsidRDefault="00610701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-260832</wp:posOffset>
            </wp:positionH>
            <wp:positionV relativeFrom="paragraph">
              <wp:posOffset>316408</wp:posOffset>
            </wp:positionV>
            <wp:extent cx="6239866" cy="304165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239866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Рисунок 2</w:t>
      </w: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spacing w:after="0" w:line="36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Доля количества операций по </w:t>
      </w:r>
      <w:r>
        <w:rPr>
          <w:rFonts w:ascii="Times New Roman" w:hAnsi="Times New Roman"/>
          <w:sz w:val="28"/>
        </w:rPr>
        <w:t>оплате проезда, приходящихся на муниципальные образования-лидеры, составляет 46,9%</w:t>
      </w:r>
      <w:r>
        <w:rPr>
          <w:rStyle w:val="a5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 xml:space="preserve"> от общего количества операций по оплате проезда на территории Краснодарского края.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муниципальных образований с показателем доли безналичных расчетов при оплате про</w:t>
      </w:r>
      <w:r>
        <w:rPr>
          <w:rFonts w:ascii="Times New Roman" w:hAnsi="Times New Roman"/>
          <w:sz w:val="28"/>
        </w:rPr>
        <w:t xml:space="preserve">езда ниже среднего по краю включает 21 муниципалитет (доля составляет от 0,9% до 88,7% – детализированная информация в приложении 2). При этом доля количества операций по оплате проезда, совершенных в указанных муниципальных образованиях (без учета вклада </w:t>
      </w:r>
      <w:r>
        <w:rPr>
          <w:rFonts w:ascii="Times New Roman" w:hAnsi="Times New Roman"/>
          <w:sz w:val="28"/>
        </w:rPr>
        <w:t>г. Краснодар), составляет 3,1% от общего показателя по региону.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следует отметить средний показатель «количество безналичных операций на одном ТС за день» в разрезе муниципальных образований Краснодарского края, который составляет 138 единиц. Выше дан</w:t>
      </w:r>
      <w:r>
        <w:rPr>
          <w:rFonts w:ascii="Times New Roman" w:hAnsi="Times New Roman"/>
          <w:sz w:val="28"/>
        </w:rPr>
        <w:t>ного уровня находятся лишь два муниципальных образования: г. Краснодар (242 операции) и г. Сочи (186 операций).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динамики изменения доли безналичных расчетов при оплате проезда в IV квартале по сравнению с III кварталом 2025 года показал повышение в </w:t>
      </w:r>
      <w:r>
        <w:rPr>
          <w:rFonts w:ascii="Times New Roman" w:hAnsi="Times New Roman"/>
          <w:sz w:val="28"/>
        </w:rPr>
        <w:t>25 муниципальных образованиях доли безналичных расчетов, в 5 муниципальных образованиях – снижение, в 14 районах показатель остался без изменений</w:t>
      </w:r>
      <w:r>
        <w:rPr>
          <w:rStyle w:val="a5"/>
          <w:rFonts w:ascii="Times New Roman" w:hAnsi="Times New Roman"/>
          <w:sz w:val="28"/>
        </w:rPr>
        <w:footnoteReference w:id="7"/>
      </w:r>
      <w:r>
        <w:rPr>
          <w:rFonts w:ascii="Times New Roman" w:hAnsi="Times New Roman"/>
          <w:sz w:val="28"/>
        </w:rPr>
        <w:t xml:space="preserve"> (Рисунок 3).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1421130</wp:posOffset>
            </wp:positionH>
            <wp:positionV relativeFrom="paragraph">
              <wp:posOffset>19982</wp:posOffset>
            </wp:positionV>
            <wp:extent cx="3345477" cy="2238451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3345477" cy="223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>Рисунок 3</w:t>
      </w: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</w:rPr>
      </w:pP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highlight w:val="yellow"/>
        </w:rPr>
      </w:pP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Наибольшее увеличение доли безналичных расчетов по оплате проезда отмечаем в </w:t>
      </w:r>
      <w:r>
        <w:rPr>
          <w:rFonts w:ascii="Times New Roman" w:hAnsi="Times New Roman"/>
          <w:sz w:val="28"/>
        </w:rPr>
        <w:t xml:space="preserve">Староминском и Щербиновском районах (+97,9 п.п. и 92,2 п.п.). 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Общим фактором для муниципалитетов стал рост общего количества операций по оплате проезда (Таблица). При этом в Староминском районе рост обеспечен увеличением количества безналичных операций пр</w:t>
      </w:r>
      <w:r>
        <w:rPr>
          <w:rFonts w:ascii="Times New Roman" w:hAnsi="Times New Roman"/>
          <w:sz w:val="28"/>
        </w:rPr>
        <w:t>и оплате проезда (с 0 операций в III квартале 2025 года до 1 055 операций в IV квартале 2025 года) при снижении наличных операций (с 103 ед. в III квартале 2025 года до 23 ед. в IV квартале 2025 года). В Щербиновском районе отмечено увеличение как количест</w:t>
      </w:r>
      <w:r>
        <w:rPr>
          <w:rFonts w:ascii="Times New Roman" w:hAnsi="Times New Roman"/>
          <w:sz w:val="28"/>
        </w:rPr>
        <w:t>ва безналичных операций по оплате проезда (с 0 операций в III квартале 2025 года до 1 496 операций в IV квартале 2025 года), так и наличных операций с 8 ед. в III квартале 2025 года до 126 операций в IV квартале 2025 года.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 показателей в вышеуказа</w:t>
      </w:r>
      <w:r>
        <w:rPr>
          <w:rFonts w:ascii="Times New Roman" w:hAnsi="Times New Roman"/>
          <w:sz w:val="28"/>
        </w:rPr>
        <w:t>нных районах обусловлены проведенным взаимодействием (в том числе контрольно-надзорного характера) администраций муниципальных образований, УФНС с перевозчиками по вопросам применения эквайрингового оборудования и информированием населения о возможности бе</w:t>
      </w:r>
      <w:r>
        <w:rPr>
          <w:rFonts w:ascii="Times New Roman" w:hAnsi="Times New Roman"/>
          <w:sz w:val="28"/>
        </w:rPr>
        <w:t>зналичной оплаты проезда.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Значительного снижения доли безналичных расчетов при оплате проезда в общественном транспорте в IV квартале 2025 года в муниципальных образованиях не наблюдалось.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приведенных данных о количестве безналичных и наличных оп</w:t>
      </w:r>
      <w:r>
        <w:rPr>
          <w:rFonts w:ascii="Times New Roman" w:hAnsi="Times New Roman"/>
          <w:sz w:val="28"/>
        </w:rPr>
        <w:t>ераций</w:t>
      </w:r>
      <w:r>
        <w:rPr>
          <w:rStyle w:val="a5"/>
          <w:rFonts w:ascii="Times New Roman" w:hAnsi="Times New Roman"/>
          <w:sz w:val="28"/>
        </w:rPr>
        <w:footnoteReference w:id="8"/>
      </w:r>
      <w:r>
        <w:rPr>
          <w:rFonts w:ascii="Times New Roman" w:hAnsi="Times New Roman"/>
          <w:sz w:val="28"/>
        </w:rPr>
        <w:t>, о значительном изменении в течение квартала количества наличных операций по оплате проезда можно предположить, что в отдельных муниципальных образованиях высокая доля безналичных расчетов при оплате проезда в общественном транспорте, может достига</w:t>
      </w:r>
      <w:r>
        <w:rPr>
          <w:rFonts w:ascii="Times New Roman" w:hAnsi="Times New Roman"/>
          <w:sz w:val="28"/>
        </w:rPr>
        <w:t>ться не только за счет активного использования безналичных способов оплаты (платежных карт), но и по причине того, что при оплате проезда наличными денежными средствами водитель не проводит данную операцию через терминальное устройство по приему платежей (</w:t>
      </w:r>
      <w:r>
        <w:rPr>
          <w:rFonts w:ascii="Times New Roman" w:hAnsi="Times New Roman"/>
          <w:sz w:val="28"/>
        </w:rPr>
        <w:t>электронный терминал с фискальным модулем).</w:t>
      </w: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 В рамках популяризации безналичной оплаты проезда в период с сентября по декабрь 2025 года на территории Краснодарского края (за исключением г. Сочи) проводилась маркетинговая акция АО «НСПК»: при оплате прое</w:t>
      </w:r>
      <w:r>
        <w:rPr>
          <w:rFonts w:ascii="Times New Roman" w:hAnsi="Times New Roman"/>
          <w:sz w:val="28"/>
        </w:rPr>
        <w:t>зда мобильным устройством с «привязанной» картой ПС «Мир» предоставлялась скидка 8 рублей. По итогам проведенной акции совершено 6,6 млн. транзакций</w:t>
      </w:r>
      <w:r>
        <w:rPr>
          <w:rStyle w:val="a5"/>
          <w:rFonts w:ascii="Times New Roman" w:hAnsi="Times New Roman"/>
          <w:sz w:val="28"/>
        </w:rPr>
        <w:footnoteReference w:id="9"/>
      </w:r>
      <w:r>
        <w:rPr>
          <w:rFonts w:ascii="Times New Roman" w:hAnsi="Times New Roman"/>
          <w:sz w:val="28"/>
        </w:rPr>
        <w:t>. Сумма денежных средств, сэкономленная пассажирами в рамках данной акции, составила 52,5 млн. руб.</w:t>
      </w:r>
    </w:p>
    <w:p w:rsidR="009E352E" w:rsidRDefault="0061070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По</w:t>
      </w:r>
      <w:r>
        <w:rPr>
          <w:rFonts w:ascii="Times New Roman" w:hAnsi="Times New Roman"/>
          <w:sz w:val="28"/>
        </w:rPr>
        <w:t xml:space="preserve"> итогам мероприятий, проведенных в 2025 году</w:t>
      </w:r>
      <w:r>
        <w:rPr>
          <w:rStyle w:val="a5"/>
          <w:rFonts w:ascii="Times New Roman" w:hAnsi="Times New Roman"/>
          <w:sz w:val="28"/>
        </w:rPr>
        <w:footnoteReference w:id="10"/>
      </w:r>
      <w:r>
        <w:rPr>
          <w:rFonts w:ascii="Times New Roman" w:hAnsi="Times New Roman"/>
          <w:sz w:val="28"/>
        </w:rPr>
        <w:t>, следует отметить повышение общего количества транзакций на территории Краснодарского края в IV квартале 2025 года по сравнению с IV кварталом 2024 года на 4,9%. При этом при рассмотрении информации по 10-ти му</w:t>
      </w:r>
      <w:r>
        <w:rPr>
          <w:rFonts w:ascii="Times New Roman" w:hAnsi="Times New Roman"/>
          <w:sz w:val="28"/>
        </w:rPr>
        <w:t>ниципальным образованиям</w:t>
      </w:r>
      <w:r>
        <w:rPr>
          <w:rStyle w:val="a5"/>
          <w:rFonts w:ascii="Times New Roman" w:hAnsi="Times New Roman"/>
          <w:sz w:val="28"/>
        </w:rPr>
        <w:footnoteReference w:id="11"/>
      </w:r>
      <w:r>
        <w:rPr>
          <w:rFonts w:ascii="Times New Roman" w:hAnsi="Times New Roman"/>
          <w:sz w:val="28"/>
        </w:rPr>
        <w:t>, имевшим самую низкую транзакционную активность в IV квартале 2024 года (общее количество транзакций в МО</w:t>
      </w:r>
      <w:r>
        <w:rPr>
          <w:rFonts w:ascii="Times New Roman" w:hAnsi="Times New Roman"/>
          <w:sz w:val="28"/>
          <w:vertAlign w:val="superscript"/>
        </w:rPr>
        <w:t>12</w:t>
      </w:r>
      <w:r>
        <w:rPr>
          <w:rFonts w:ascii="Times New Roman" w:hAnsi="Times New Roman"/>
          <w:sz w:val="28"/>
        </w:rPr>
        <w:t xml:space="preserve"> за IV квартал 2024 года составило 13 513 ед.), установлено ее увеличение в аналогичном</w:t>
      </w:r>
      <w:r>
        <w:rPr>
          <w:rFonts w:ascii="Times New Roman" w:hAnsi="Times New Roman"/>
          <w:sz w:val="28"/>
        </w:rPr>
        <w:t xml:space="preserve"> периоде 2025 года в 16 раз (до 221 285 транзакций).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 в целях дальнейшего повышения транзакционной активности при оплате проезда в общественном транспорте 04.12.2025 в ходе совещания рабочей группы по повышению финансовой доступности на террито</w:t>
      </w:r>
      <w:r>
        <w:rPr>
          <w:rFonts w:ascii="Times New Roman" w:hAnsi="Times New Roman"/>
          <w:sz w:val="28"/>
        </w:rPr>
        <w:t>рии Краснодарского края</w:t>
      </w:r>
      <w:r>
        <w:rPr>
          <w:rStyle w:val="a5"/>
          <w:rFonts w:ascii="Times New Roman" w:hAnsi="Times New Roman"/>
          <w:sz w:val="28"/>
        </w:rPr>
        <w:footnoteReference w:id="12"/>
      </w:r>
      <w:r>
        <w:rPr>
          <w:rFonts w:ascii="Times New Roman" w:hAnsi="Times New Roman"/>
          <w:sz w:val="28"/>
        </w:rPr>
        <w:t xml:space="preserve"> отмечены муниципальные районы с низкой транзакционной активностью</w:t>
      </w:r>
      <w:r>
        <w:rPr>
          <w:rStyle w:val="a5"/>
          <w:rFonts w:ascii="Times New Roman" w:hAnsi="Times New Roman"/>
          <w:sz w:val="28"/>
        </w:rPr>
        <w:footnoteReference w:id="13"/>
      </w:r>
      <w:r>
        <w:rPr>
          <w:rFonts w:ascii="Times New Roman" w:hAnsi="Times New Roman"/>
          <w:sz w:val="28"/>
        </w:rPr>
        <w:t>. По данным за IV квартал 2025 года количество операций при оплате проезда в Павловском районе, Староминском районе и Щербиновском районе по сравнению с данными за I</w:t>
      </w:r>
      <w:r>
        <w:rPr>
          <w:rFonts w:ascii="Times New Roman" w:hAnsi="Times New Roman"/>
          <w:sz w:val="28"/>
        </w:rPr>
        <w:t>II квартал 2025 года значительно увеличилось. Подробная информация о транзакционной активности приведена в таблице.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Таблица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092"/>
        <w:gridCol w:w="907"/>
        <w:gridCol w:w="965"/>
        <w:gridCol w:w="964"/>
        <w:gridCol w:w="6"/>
        <w:gridCol w:w="1013"/>
        <w:gridCol w:w="987"/>
        <w:gridCol w:w="1126"/>
        <w:gridCol w:w="1124"/>
        <w:gridCol w:w="236"/>
      </w:tblGrid>
      <w:tr w:rsidR="009E352E">
        <w:trPr>
          <w:trHeight w:val="315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МО</w:t>
            </w:r>
          </w:p>
        </w:tc>
        <w:tc>
          <w:tcPr>
            <w:tcW w:w="39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III квартал 2025 г.</w:t>
            </w:r>
          </w:p>
        </w:tc>
        <w:tc>
          <w:tcPr>
            <w:tcW w:w="4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IV квартал 2025 г.</w:t>
            </w:r>
          </w:p>
        </w:tc>
      </w:tr>
      <w:tr w:rsidR="009E352E">
        <w:trPr>
          <w:trHeight w:val="315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9E352E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Общее количество операций по оплате проезда, ед.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left="-80" w:right="-9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Налич. операции, ед.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left="-79" w:right="-5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Безналич. </w:t>
            </w:r>
            <w:r>
              <w:rPr>
                <w:rFonts w:ascii="Times New Roman" w:hAnsi="Times New Roman"/>
                <w:sz w:val="18"/>
              </w:rPr>
              <w:t>операции, ед.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left="-97" w:right="-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Доля безналич. операций, %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left="-65" w:right="-2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Общее количество операций по оплате проезда, ед.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Налич. операции, ед.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Безналич. операции, ед.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Доля безналич. операций, %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2E" w:rsidRDefault="009E352E"/>
        </w:tc>
      </w:tr>
      <w:tr w:rsidR="009E352E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Павловский район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2 381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2 381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0,0%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3 191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3 161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0,9%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2E" w:rsidRDefault="009E352E"/>
        </w:tc>
      </w:tr>
      <w:tr w:rsidR="009E352E">
        <w:trPr>
          <w:trHeight w:val="31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Староминской район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103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0,0%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1 078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1 055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97,9%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2E" w:rsidRDefault="009E352E"/>
        </w:tc>
      </w:tr>
      <w:tr w:rsidR="009E352E">
        <w:trPr>
          <w:trHeight w:val="33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ind w:right="-13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Щербиновский район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0,0%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1 622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1 496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352E" w:rsidRDefault="006107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92,2%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52E" w:rsidRDefault="009E352E"/>
        </w:tc>
      </w:tr>
    </w:tbl>
    <w:p w:rsidR="009E352E" w:rsidRDefault="009E352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В рамках совместной выработки мер</w:t>
      </w:r>
      <w:r>
        <w:rPr>
          <w:rStyle w:val="a5"/>
          <w:rFonts w:ascii="Times New Roman" w:hAnsi="Times New Roman"/>
          <w:sz w:val="28"/>
        </w:rPr>
        <w:t xml:space="preserve"> </w:t>
      </w:r>
      <w:r>
        <w:rPr>
          <w:rStyle w:val="a5"/>
          <w:rFonts w:ascii="Times New Roman" w:hAnsi="Times New Roman"/>
          <w:sz w:val="28"/>
        </w:rPr>
        <w:footnoteReference w:id="14"/>
      </w:r>
      <w:r>
        <w:rPr>
          <w:rFonts w:ascii="Times New Roman" w:hAnsi="Times New Roman"/>
          <w:sz w:val="28"/>
        </w:rPr>
        <w:t>, направленных на дальнейшее повышение транзакционной активности, отмечаем сохраняющиеся барьеры: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недостаточная заинтересованность</w:t>
      </w:r>
      <w:r>
        <w:rPr>
          <w:rFonts w:ascii="Times New Roman" w:hAnsi="Times New Roman"/>
          <w:sz w:val="28"/>
        </w:rPr>
        <w:t xml:space="preserve"> населения в безналичной оплате проезда в общественном транспорте сельских населенных пунктов (по причине устоявшихся взглядов и опасений при использовании платежной карты</w:t>
      </w:r>
      <w:r>
        <w:rPr>
          <w:rStyle w:val="a5"/>
          <w:rFonts w:ascii="Times New Roman" w:hAnsi="Times New Roman"/>
          <w:sz w:val="28"/>
        </w:rPr>
        <w:footnoteReference w:id="15"/>
      </w:r>
      <w:r>
        <w:rPr>
          <w:rFonts w:ascii="Times New Roman" w:hAnsi="Times New Roman"/>
          <w:sz w:val="28"/>
        </w:rPr>
        <w:t>, недостаточная информированность о преимуществах безналичной оплаты);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нежелание ор</w:t>
      </w:r>
      <w:r>
        <w:rPr>
          <w:rFonts w:ascii="Times New Roman" w:hAnsi="Times New Roman"/>
          <w:sz w:val="28"/>
        </w:rPr>
        <w:t>ганизаций-перевозчиков принимать безналичную оплату проезда, в том числе по причине необходимости «обеления» оборота, а также текущей убыточности отдельной части маршрутов (возникают дополнительные расходы, связанные с оплатой эквайринговой комиссии);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регулярное отключение</w:t>
      </w:r>
      <w:r>
        <w:rPr>
          <w:rStyle w:val="a5"/>
          <w:rFonts w:ascii="Times New Roman" w:hAnsi="Times New Roman"/>
          <w:sz w:val="28"/>
        </w:rPr>
        <w:footnoteReference w:id="16"/>
      </w:r>
      <w:r>
        <w:rPr>
          <w:rFonts w:ascii="Times New Roman" w:hAnsi="Times New Roman"/>
          <w:sz w:val="28"/>
        </w:rPr>
        <w:t xml:space="preserve"> мобильного интернета в рамках обеспечения мер безопасности, связанных с угрозой атак БПЛА.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С учетом изложенного, в целях поддержания условий для устойчивого роста транзакционной активности при оплате проезда на территории Краснода</w:t>
      </w:r>
      <w:r>
        <w:rPr>
          <w:rFonts w:ascii="Times New Roman" w:hAnsi="Times New Roman"/>
          <w:sz w:val="28"/>
        </w:rPr>
        <w:t>рского края, предлагаем следующее: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Южному ГУ Банка России совместно с органами исполнительной власти Краснодарского края продолжить мероприятия по популяризации безналичной оплаты проезда в общественном транспорте среди населения региона с ориентиром на</w:t>
      </w:r>
      <w:r>
        <w:rPr>
          <w:rFonts w:ascii="Times New Roman" w:hAnsi="Times New Roman"/>
          <w:sz w:val="28"/>
        </w:rPr>
        <w:t xml:space="preserve"> муниципальные образования с низкой долей безналичной оплаты.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Срок: в течение 2026 года.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Администрациям муниципальных образований Краснодарского края продолжить проведение мероприятий по усилению контроля за использованием устройств безналичной оплаты о</w:t>
      </w:r>
      <w:r>
        <w:rPr>
          <w:rFonts w:ascii="Times New Roman" w:hAnsi="Times New Roman"/>
          <w:sz w:val="28"/>
        </w:rPr>
        <w:t>рганизациями-перевозчиками (при участии представителей муниципальных подразделений ФНС, Роспотребнадзора).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Срок: в течение 2026 года.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Принимая во внимание значительное увеличение транзакционной активности в отдельных муниципальных образованиях Краснодар</w:t>
      </w:r>
      <w:r>
        <w:rPr>
          <w:rFonts w:ascii="Times New Roman" w:hAnsi="Times New Roman"/>
          <w:sz w:val="28"/>
        </w:rPr>
        <w:t>ского края, предлагаем не проводить рабочую встречу, запланированную в соответствии с пунктом 4.3 протокола</w:t>
      </w:r>
      <w:r>
        <w:rPr>
          <w:rFonts w:ascii="Times New Roman" w:hAnsi="Times New Roman"/>
          <w:sz w:val="28"/>
          <w:vertAlign w:val="superscript"/>
        </w:rPr>
        <w:t>14</w:t>
      </w:r>
      <w:r>
        <w:rPr>
          <w:rFonts w:ascii="Times New Roman" w:hAnsi="Times New Roman"/>
          <w:sz w:val="28"/>
        </w:rPr>
        <w:t>, ввиду достаточности на текущий момент реализуемых механизмов, направленных на повышение транзакционной активности и развитие безналичных способов</w:t>
      </w:r>
      <w:r>
        <w:rPr>
          <w:rFonts w:ascii="Times New Roman" w:hAnsi="Times New Roman"/>
          <w:sz w:val="28"/>
        </w:rPr>
        <w:t xml:space="preserve"> оплаты в общественном транспорте. Продолжить мониторинг операций.</w:t>
      </w:r>
    </w:p>
    <w:p w:rsidR="009E352E" w:rsidRDefault="00610701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Срок: в течение 2026 года.</w:t>
      </w:r>
    </w:p>
    <w:p w:rsidR="009E352E" w:rsidRDefault="009E352E">
      <w:pPr>
        <w:tabs>
          <w:tab w:val="left" w:pos="1152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sectPr w:rsidR="009E352E">
      <w:headerReference w:type="default" r:id="rId10"/>
      <w:headerReference w:type="first" r:id="rId11"/>
      <w:pgSz w:w="11906" w:h="16838"/>
      <w:pgMar w:top="1134" w:right="850" w:bottom="56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01" w:rsidRDefault="00610701">
      <w:pPr>
        <w:spacing w:after="0" w:line="240" w:lineRule="auto"/>
      </w:pPr>
      <w:r>
        <w:separator/>
      </w:r>
    </w:p>
  </w:endnote>
  <w:endnote w:type="continuationSeparator" w:id="0">
    <w:p w:rsidR="00610701" w:rsidRDefault="0061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01" w:rsidRDefault="00610701">
      <w:pPr>
        <w:spacing w:after="0" w:line="240" w:lineRule="auto"/>
      </w:pPr>
      <w:r>
        <w:separator/>
      </w:r>
    </w:p>
  </w:footnote>
  <w:footnote w:type="continuationSeparator" w:id="0">
    <w:p w:rsidR="00610701" w:rsidRDefault="00610701">
      <w:pPr>
        <w:spacing w:after="0" w:line="240" w:lineRule="auto"/>
      </w:pPr>
      <w:r>
        <w:continuationSeparator/>
      </w:r>
    </w:p>
  </w:footnote>
  <w:footnote w:id="1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Информация получена от муниципальных образований Краснодарского края.</w:t>
      </w:r>
    </w:p>
  </w:footnote>
  <w:footnote w:id="2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Информация получена от ООО «Электронный билет Кубани».</w:t>
      </w:r>
    </w:p>
  </w:footnote>
  <w:footnote w:id="3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Доля безналичных расчетов при оплате проезда в общественном транспорте составляет за IV квартал 2024 г.– 87,9%, I квартал 2025 г. – 88,3%, II квартал 2025 г. – 88,4%, III квартал 2025 года – 88,1%, I</w:t>
      </w:r>
      <w:r>
        <w:rPr>
          <w:rFonts w:ascii="Times New Roman" w:hAnsi="Times New Roman"/>
        </w:rPr>
        <w:t>V квартал 2025 года – 88,9%.</w:t>
      </w:r>
    </w:p>
  </w:footnote>
  <w:footnote w:id="4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г. Сочи и г. Краснодар занимают 22 и 25 места соответственно по доле безналичных операций в общественном транспорте среди МО Краснодарского края.</w:t>
      </w:r>
    </w:p>
  </w:footnote>
  <w:footnote w:id="5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Данное увеличение пассажиропотока в г. Краснодаре обусловлено окончанием сезона отпусков и летних каникул у школьников и студентов.</w:t>
      </w:r>
    </w:p>
  </w:footnote>
  <w:footnote w:id="6">
    <w:p w:rsidR="009E352E" w:rsidRDefault="00610701">
      <w:pPr>
        <w:pStyle w:val="Footnote"/>
        <w:ind w:firstLine="567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С учетом г. Сочи – 46,9%, без учета г. Сочи – 15,0%.</w:t>
      </w:r>
    </w:p>
  </w:footnote>
  <w:footnote w:id="7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В долю «без изменений» включены муниципальные образования, доля бе</w:t>
      </w:r>
      <w:r>
        <w:rPr>
          <w:rFonts w:ascii="Times New Roman" w:hAnsi="Times New Roman"/>
        </w:rPr>
        <w:t>зналичных операций при оплате проезда в общественном транспорте в которых увеличилась или снизилась в пределах одного процентного пункта.</w:t>
      </w:r>
    </w:p>
  </w:footnote>
  <w:footnote w:id="8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Количество безналичных и наличных операций при оплате проезда в IV квартале 2025 года.</w:t>
      </w:r>
    </w:p>
    <w:p w:rsidR="009E352E" w:rsidRDefault="00610701">
      <w:pPr>
        <w:pStyle w:val="Footnote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Горячий ключ – безналичные оп</w:t>
      </w:r>
      <w:r>
        <w:rPr>
          <w:rFonts w:ascii="Times New Roman" w:hAnsi="Times New Roman"/>
        </w:rPr>
        <w:t>ерации – 180 805 ед, наличные операции – 1 ед.</w:t>
      </w:r>
    </w:p>
    <w:p w:rsidR="009E352E" w:rsidRDefault="00610701">
      <w:pPr>
        <w:pStyle w:val="Footnote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Усть-Лабинский район – безналичные операции – 69 410 ед., наличные операции – 3 ед.</w:t>
      </w:r>
    </w:p>
    <w:p w:rsidR="009E352E" w:rsidRDefault="00610701">
      <w:pPr>
        <w:pStyle w:val="Footnote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Выселковский район – безналичные операции – 5 128 ед., наличные операции – 1 ед.</w:t>
      </w:r>
    </w:p>
  </w:footnote>
  <w:footnote w:id="9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Количество транзакций с использованием моб</w:t>
      </w:r>
      <w:r>
        <w:rPr>
          <w:rFonts w:ascii="Times New Roman" w:hAnsi="Times New Roman"/>
        </w:rPr>
        <w:t>ильного телефона с «привязанной» картой ПС «Мир», совершенных в период маркетинговой акции на 37,5% превышает количество аналогичных транзакций, совершенных в сентябре – декабре 2024 года.</w:t>
      </w:r>
    </w:p>
  </w:footnote>
  <w:footnote w:id="10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25.02.2025 проведена рабочая встреча с участием представителей ад</w:t>
      </w:r>
      <w:r>
        <w:rPr>
          <w:rFonts w:ascii="Times New Roman" w:hAnsi="Times New Roman"/>
        </w:rPr>
        <w:t>министраций Курганинского района, Славянского района, Темрюкского района и Щербиновского района, министерства экономики Краснодарского края, министерства транспорта и дорожного хозяйства Краснодарского края, организациями перевозчиками, ООО «Электронный би</w:t>
      </w:r>
      <w:r>
        <w:rPr>
          <w:rFonts w:ascii="Times New Roman" w:hAnsi="Times New Roman"/>
        </w:rPr>
        <w:t>лет Кубани» по вопросам повышения транзакционной активности при оплате проезда в общественном транспорте.</w:t>
      </w:r>
    </w:p>
  </w:footnote>
  <w:footnote w:id="11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 Темрюкский район, Староминский район, Щербиновский район, Курганинский район, Крыловский район, Успенский район, Славянский район, Выселковский райо</w:t>
      </w:r>
      <w:r>
        <w:rPr>
          <w:rFonts w:ascii="Times New Roman" w:hAnsi="Times New Roman"/>
        </w:rPr>
        <w:t>н, Калиниский район, Павловский район.</w:t>
      </w:r>
    </w:p>
  </w:footnote>
  <w:footnote w:id="12">
    <w:p w:rsidR="009E352E" w:rsidRDefault="0061070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Протокол совещания рабочей группы по повышению доступности финансовых услуг и увеличению доли безналичных платежей на территории Краснодарского края (в том числе в отдаленных, малонаселенных и труднодоступных населе</w:t>
      </w:r>
      <w:r>
        <w:rPr>
          <w:rFonts w:ascii="Times New Roman" w:hAnsi="Times New Roman"/>
          <w:sz w:val="20"/>
        </w:rPr>
        <w:t>нных пунктах) от 04.12.2025.</w:t>
      </w:r>
    </w:p>
  </w:footnote>
  <w:footnote w:id="13">
    <w:p w:rsidR="009E352E" w:rsidRDefault="00610701">
      <w:pPr>
        <w:widowControl w:val="0"/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4.3 Протокола от 04.12.2025 «Совместно с Министерством экономики Краснодарского края, Министерством транспорта и дорожного хозяйства Краснодарского края, муниципальными образованиями (Щербиновский район, Староминский ра</w:t>
      </w:r>
      <w:r>
        <w:rPr>
          <w:rFonts w:ascii="Times New Roman" w:hAnsi="Times New Roman"/>
          <w:sz w:val="20"/>
        </w:rPr>
        <w:t>йон, Павловский район), организациями перевозчиками, ООО «Электронный билет Кубани» провести рабочую встречу по вопросам повышения транзакционной активности при оплате проезда в общественном транспорте». Срок: не позднее 31.03.2026.</w:t>
      </w:r>
    </w:p>
  </w:footnote>
  <w:footnote w:id="14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Мероприятия разработа</w:t>
      </w:r>
      <w:r>
        <w:rPr>
          <w:rFonts w:ascii="Times New Roman" w:hAnsi="Times New Roman"/>
        </w:rPr>
        <w:t>ны при участии Южного ГУ Банка России, Министерства экономики Краснодарского края, Министерства транспорта и дорожного хозяйства Краснодарского края, кредитных организаций, ООО «Электронный билет Кубани».</w:t>
      </w:r>
    </w:p>
  </w:footnote>
  <w:footnote w:id="15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В сельской местности значительную долю пассажироп</w:t>
      </w:r>
      <w:r>
        <w:rPr>
          <w:rFonts w:ascii="Times New Roman" w:hAnsi="Times New Roman"/>
        </w:rPr>
        <w:t>отока составляют пенсионеры и школьники. Первые предпочитают наличные денежные средства в силу устоявшихся взглядов, вторые – не обеспечены платежными картами в силу возраста, используют наличные денежные средства, полученные от родителей.</w:t>
      </w:r>
    </w:p>
  </w:footnote>
  <w:footnote w:id="16">
    <w:p w:rsidR="009E352E" w:rsidRDefault="00610701">
      <w:pPr>
        <w:pStyle w:val="Footnote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В целях обновл</w:t>
      </w:r>
      <w:r>
        <w:rPr>
          <w:rFonts w:ascii="Times New Roman" w:hAnsi="Times New Roman"/>
        </w:rPr>
        <w:t>ения реестров токенов, для предоставления возможности оплаты проезда мобильными устройствами с «привязанной» картой Мир, ООО «Электронный билет Кубани» изменена схема и время загрузки данных реестров.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2E" w:rsidRDefault="00610701">
    <w:pPr>
      <w:pStyle w:val="a8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CA17D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E352E" w:rsidRDefault="009E35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2E" w:rsidRDefault="009E352E">
    <w:pPr>
      <w:pStyle w:val="a8"/>
      <w:jc w:val="center"/>
    </w:pPr>
  </w:p>
  <w:p w:rsidR="009E352E" w:rsidRDefault="009E35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52E"/>
    <w:rsid w:val="00610701"/>
    <w:rsid w:val="009E352E"/>
    <w:rsid w:val="00C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5"/>
    <w:rPr>
      <w:vertAlign w:val="superscript"/>
    </w:rPr>
  </w:style>
  <w:style w:type="character" w:styleId="a5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6"/>
  </w:style>
  <w:style w:type="paragraph" w:styleId="a6">
    <w:name w:val="annotation subject"/>
    <w:basedOn w:val="a3"/>
    <w:next w:val="a3"/>
    <w:link w:val="a7"/>
    <w:rPr>
      <w:b/>
    </w:rPr>
  </w:style>
  <w:style w:type="character" w:customStyle="1" w:styleId="a7">
    <w:name w:val="Тема примечания Знак"/>
    <w:basedOn w:val="a4"/>
    <w:link w:val="a6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Знак примечания1"/>
    <w:basedOn w:val="13"/>
    <w:link w:val="af7"/>
    <w:rPr>
      <w:sz w:val="16"/>
    </w:rPr>
  </w:style>
  <w:style w:type="character" w:styleId="af7">
    <w:name w:val="annotation reference"/>
    <w:basedOn w:val="a0"/>
    <w:link w:val="17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pPr>
      <w:spacing w:line="240" w:lineRule="auto"/>
    </w:pPr>
    <w:rPr>
      <w:sz w:val="20"/>
    </w:rPr>
  </w:style>
  <w:style w:type="character" w:customStyle="1" w:styleId="a4">
    <w:name w:val="Текст примечания Знак"/>
    <w:basedOn w:val="1"/>
    <w:link w:val="a3"/>
    <w:rPr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5"/>
    <w:rPr>
      <w:vertAlign w:val="superscript"/>
    </w:rPr>
  </w:style>
  <w:style w:type="character" w:styleId="a5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6"/>
  </w:style>
  <w:style w:type="paragraph" w:styleId="a6">
    <w:name w:val="annotation subject"/>
    <w:basedOn w:val="a3"/>
    <w:next w:val="a3"/>
    <w:link w:val="a7"/>
    <w:rPr>
      <w:b/>
    </w:rPr>
  </w:style>
  <w:style w:type="character" w:customStyle="1" w:styleId="a7">
    <w:name w:val="Тема примечания Знак"/>
    <w:basedOn w:val="a4"/>
    <w:link w:val="a6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7">
    <w:name w:val="Знак примечания1"/>
    <w:basedOn w:val="13"/>
    <w:link w:val="af7"/>
    <w:rPr>
      <w:sz w:val="16"/>
    </w:rPr>
  </w:style>
  <w:style w:type="character" w:styleId="af7">
    <w:name w:val="annotation reference"/>
    <w:basedOn w:val="a0"/>
    <w:link w:val="1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2026-02-18T15:10:00Z</dcterms:created>
  <dcterms:modified xsi:type="dcterms:W3CDTF">2026-04-08T15:09:00Z</dcterms:modified>
</cp:coreProperties>
</file>